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</w:rPr>
      </w:pPr>
    </w:p>
    <w:p w:rsidR="0092240A" w:rsidRDefault="0092240A" w:rsidP="008B5913">
      <w:pPr>
        <w:pStyle w:val="3"/>
        <w:jc w:val="left"/>
        <w:rPr>
          <w:szCs w:val="32"/>
        </w:rPr>
      </w:pPr>
    </w:p>
    <w:p w:rsidR="004E7612" w:rsidRDefault="004E7612" w:rsidP="008B5913">
      <w:pPr>
        <w:pStyle w:val="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0816E2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0816E2" w:rsidRDefault="000816E2" w:rsidP="000816E2">
            <w:pPr>
              <w:contextualSpacing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Writing Skills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0816E2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0816E2" w:rsidRDefault="00F829E0" w:rsidP="003D3704">
            <w:pPr>
              <w:contextualSpacing/>
              <w:jc w:val="both"/>
              <w:rPr>
                <w:b/>
                <w:sz w:val="30"/>
                <w:szCs w:val="30"/>
              </w:rPr>
            </w:pPr>
            <w:r w:rsidRPr="000816E2">
              <w:rPr>
                <w:b/>
                <w:sz w:val="30"/>
                <w:szCs w:val="30"/>
              </w:rPr>
              <w:t>141 ENG-2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0816E2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0816E2" w:rsidRDefault="000816E2" w:rsidP="000816E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Preparatory Year 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0816E2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0816E2" w:rsidRDefault="00EE3F47" w:rsidP="003D370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English Skills</w:t>
            </w:r>
          </w:p>
        </w:tc>
      </w:tr>
      <w:tr w:rsidR="000816E2" w:rsidRPr="005D2DDD" w:rsidTr="008B5913">
        <w:trPr>
          <w:trHeight w:val="506"/>
        </w:trPr>
        <w:tc>
          <w:tcPr>
            <w:tcW w:w="1366" w:type="pct"/>
            <w:vAlign w:val="center"/>
          </w:tcPr>
          <w:p w:rsidR="000816E2" w:rsidRPr="000816E2" w:rsidRDefault="000816E2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0816E2" w:rsidRPr="005D2DDD" w:rsidRDefault="000816E2" w:rsidP="0081091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Preparatory Year</w:t>
            </w:r>
          </w:p>
        </w:tc>
      </w:tr>
      <w:tr w:rsidR="000816E2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0816E2" w:rsidRPr="000816E2" w:rsidRDefault="000816E2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0816E2" w:rsidRPr="005D2DDD" w:rsidRDefault="000816E2" w:rsidP="0081091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Najran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18E7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016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218E7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D016BA" w:rsidP="008B5913">
          <w:pPr>
            <w:pStyle w:val="10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754"/>
        <w:gridCol w:w="1260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F829E0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8A6AEE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4903F7">
              <w:rPr>
                <w:rFonts w:asciiTheme="majorBidi" w:hAnsiTheme="majorBidi" w:cstheme="majorBidi"/>
                <w:b/>
                <w:bCs/>
              </w:rPr>
              <w:t>PY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745DC2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="Calibri" w:eastAsia="Calibri" w:hAnsi="Calibri" w:cs="Arial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BC01B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5499C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499C" w:rsidRPr="005D2DDD" w:rsidRDefault="0005499C" w:rsidP="000549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499C" w:rsidRPr="005D2DDD" w:rsidRDefault="0005499C" w:rsidP="0005499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499C" w:rsidRPr="005D2DDD" w:rsidRDefault="0005499C" w:rsidP="0005499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5499C" w:rsidRPr="005D2DDD" w:rsidRDefault="0005499C" w:rsidP="000549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05499C" w:rsidP="00745DC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:rsidR="0072359E" w:rsidRPr="000274EF" w:rsidRDefault="0005499C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  <w:tr w:rsidR="008A682F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05499C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05499C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05499C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B2F24" w:rsidRPr="000274EF" w:rsidRDefault="001B2F24" w:rsidP="00745DC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45D82" w:rsidRPr="000274EF" w:rsidRDefault="0005499C" w:rsidP="0005499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58</w:t>
            </w:r>
          </w:p>
        </w:tc>
      </w:tr>
    </w:tbl>
    <w:p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Pr="004903F7" w:rsidRDefault="00745DC2" w:rsidP="004903F7">
            <w:r w:rsidRPr="002514B7">
              <w:t>The course is designed to introduce learners into basic writing skills which will prepare them for academic writings as well as an adept user of English language. S</w:t>
            </w:r>
            <w:r>
              <w:t>tudents</w:t>
            </w:r>
            <w:r w:rsidRPr="002514B7">
              <w:t xml:space="preserve"> will be encouraged to explore different writing sources from online IT sources. Students can also benefit from the e-learning  materials uploaded on the blackboard system ,remedial classes, and from the virtual classes as well.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:rsidR="00745DC2" w:rsidRPr="00745DC2" w:rsidRDefault="00745DC2" w:rsidP="00745DC2">
            <w:pPr>
              <w:tabs>
                <w:tab w:val="left" w:pos="3450"/>
              </w:tabs>
            </w:pPr>
            <w:r w:rsidRPr="002514B7">
              <w:t>The aim of this course is to develop the students' writing skills for a variety of purposes.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</w:tc>
      </w:tr>
    </w:tbl>
    <w:p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3D3704" w:rsidP="00745DC2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>to recognize</w:t>
            </w:r>
            <w:r w:rsidRPr="002514B7">
              <w:t xml:space="preserve"> the proper format of social and personal  </w:t>
            </w:r>
            <w:r>
              <w:t xml:space="preserve">and academic </w:t>
            </w:r>
            <w:r w:rsidRPr="002514B7">
              <w:t xml:space="preserve">writings </w:t>
            </w:r>
            <w: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45DC2" w:rsidRPr="00B4292A" w:rsidRDefault="003D3704" w:rsidP="00745DC2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>to memorize punctuation, capitalization</w:t>
            </w:r>
            <w:r w:rsidRPr="002514B7">
              <w:t>,</w:t>
            </w:r>
            <w:r>
              <w:t xml:space="preserve"> </w:t>
            </w:r>
            <w:r w:rsidRPr="002514B7">
              <w:t xml:space="preserve">contraction and abbreviation </w:t>
            </w:r>
            <w: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45DC2" w:rsidRPr="00E02FB7" w:rsidRDefault="00745DC2" w:rsidP="00745D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745DC2" w:rsidRPr="00E02FB7" w:rsidRDefault="00745DC2" w:rsidP="00745DC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745DC2" w:rsidRDefault="003D3704" w:rsidP="00745DC2">
            <w:pPr>
              <w:spacing w:line="360" w:lineRule="auto"/>
            </w:pPr>
            <w:r>
              <w:t xml:space="preserve">Students </w:t>
            </w:r>
            <w:r w:rsidR="00670ADC">
              <w:t xml:space="preserve">will be  able </w:t>
            </w:r>
            <w:r>
              <w:t>to write</w:t>
            </w:r>
            <w:r w:rsidRPr="002514B7">
              <w:t xml:space="preserve"> meaningful simple, and compound sentences</w:t>
            </w:r>
            <w: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3D3704" w:rsidP="00745DC2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 xml:space="preserve">to </w:t>
            </w:r>
            <w:r w:rsidRPr="002514B7">
              <w:t xml:space="preserve">use </w:t>
            </w:r>
            <w:r>
              <w:t>adjectives and adverbs  in a sentence.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670ADC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0ADC" w:rsidRPr="00B4292A" w:rsidRDefault="00670ADC" w:rsidP="00745D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70ADC" w:rsidRDefault="00670ADC" w:rsidP="00745DC2">
            <w:pPr>
              <w:jc w:val="lowKashida"/>
            </w:pPr>
            <w:r>
              <w:t xml:space="preserve">Students will be  able to </w:t>
            </w:r>
            <w:r w:rsidRPr="002514B7">
              <w:t>w</w:t>
            </w:r>
            <w:r>
              <w:t>rite a</w:t>
            </w:r>
            <w:r w:rsidRPr="002514B7">
              <w:t xml:space="preserve"> paragraph with a reasonable topic sentence, supporting sentences and a concluding sentence.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0ADC" w:rsidRPr="00B4292A" w:rsidRDefault="00670ADC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670ADC" w:rsidP="00745D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F10D62" w:rsidP="00F10D62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>to express</w:t>
            </w:r>
            <w:r w:rsidRPr="002514B7">
              <w:t xml:space="preserve"> </w:t>
            </w:r>
            <w:r>
              <w:t>their ideas and thoughts using</w:t>
            </w:r>
            <w:r w:rsidRPr="002514B7">
              <w:t xml:space="preserve"> appropriate vocabulary and structures for academic</w:t>
            </w:r>
            <w:r>
              <w:t xml:space="preserve"> and social writings.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45DC2" w:rsidRPr="00E02FB7" w:rsidRDefault="00745DC2" w:rsidP="00745D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745DC2" w:rsidRPr="00E02FB7" w:rsidRDefault="00745DC2" w:rsidP="00745DC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745DC2" w:rsidP="00745DC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745DC2" w:rsidP="00745DC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745DC2" w:rsidP="00745DC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  <w:tr w:rsidR="00745DC2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45DC2" w:rsidRPr="00B4292A" w:rsidRDefault="00745DC2" w:rsidP="00745DC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DC2" w:rsidRPr="00B4292A" w:rsidRDefault="00745DC2" w:rsidP="00745DC2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017B4B" w:rsidP="003D370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Part one: </w:t>
            </w:r>
            <w:r w:rsidR="003D3704">
              <w:rPr>
                <w:rFonts w:asciiTheme="majorBidi" w:hAnsiTheme="majorBidi" w:cstheme="majorBidi"/>
              </w:rPr>
              <w:t>Language Use</w:t>
            </w:r>
            <w:r>
              <w:rPr>
                <w:rFonts w:asciiTheme="majorBidi" w:hAnsiTheme="majorBidi" w:cstheme="majorBidi"/>
              </w:rPr>
              <w:t xml:space="preserve"> (units 1, 2 &amp; 3)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017B4B" w:rsidP="00017B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017B4B" w:rsidP="003D370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Part two: </w:t>
            </w:r>
            <w:r w:rsidR="003D3704">
              <w:rPr>
                <w:rFonts w:asciiTheme="majorBidi" w:hAnsiTheme="majorBidi" w:cstheme="majorBidi"/>
              </w:rPr>
              <w:t>Social &amp; Personal Writing</w:t>
            </w:r>
            <w:r>
              <w:rPr>
                <w:rFonts w:asciiTheme="majorBidi" w:hAnsiTheme="majorBidi" w:cstheme="majorBidi"/>
              </w:rPr>
              <w:t xml:space="preserve"> (units 1, 2 &amp; 3)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017B4B" w:rsidP="00017B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017B4B" w:rsidP="003D370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Part three: </w:t>
            </w:r>
            <w:r w:rsidR="003D3704">
              <w:rPr>
                <w:rFonts w:asciiTheme="majorBidi" w:hAnsiTheme="majorBidi" w:cstheme="majorBidi"/>
              </w:rPr>
              <w:t>Academic Writing</w:t>
            </w:r>
            <w:r>
              <w:rPr>
                <w:rFonts w:asciiTheme="majorBidi" w:hAnsiTheme="majorBidi" w:cstheme="majorBidi"/>
              </w:rPr>
              <w:t xml:space="preserve"> (units 1, 2, 3, &amp; 4)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017B4B" w:rsidP="00017B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5D2DDD" w:rsidRDefault="00017B4B" w:rsidP="00017B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554B" w:rsidRPr="005D2DDD" w:rsidTr="00455F3F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670ADC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>will be  able</w:t>
            </w:r>
            <w:r>
              <w:t xml:space="preserve"> to recognize</w:t>
            </w:r>
            <w:r w:rsidRPr="002514B7">
              <w:t xml:space="preserve"> the proper format of social and personal  </w:t>
            </w:r>
            <w:r>
              <w:t xml:space="preserve">and academic </w:t>
            </w:r>
            <w:r w:rsidRPr="002514B7">
              <w:t xml:space="preserve">writings </w:t>
            </w:r>
            <w: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Default="009C554B" w:rsidP="009C554B">
            <w:pPr>
              <w:jc w:val="center"/>
            </w:pPr>
            <w:r>
              <w:t>Lectures and assignments,</w:t>
            </w:r>
          </w:p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>
              <w:t>group work and individual writing tasks.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9C554B" w:rsidRPr="00DE07AD" w:rsidRDefault="009C554B" w:rsidP="00BC01B4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 xml:space="preserve">First Midterm, Second Midterm, </w:t>
            </w:r>
            <w:r w:rsidR="00BC01B4">
              <w:t>Continuous assessment</w:t>
            </w:r>
            <w:r w:rsidR="004903F7">
              <w:t xml:space="preserve">, </w:t>
            </w:r>
            <w:r w:rsidRPr="002514B7">
              <w:t>Final exam</w:t>
            </w:r>
          </w:p>
        </w:tc>
      </w:tr>
      <w:tr w:rsidR="009C554B" w:rsidRPr="005D2DDD" w:rsidTr="006566E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>to memorize</w:t>
            </w:r>
            <w:r w:rsidRPr="002514B7">
              <w:t xml:space="preserve"> punctuation, capitalization ,contraction and abbreviation </w:t>
            </w:r>
            <w: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Lectures, tutorials and assignments.  Pair work, group work and individual writing tasks.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 xml:space="preserve">First Midterm, Second Midterm, </w:t>
            </w:r>
            <w:r w:rsidR="00BC01B4">
              <w:t>Continuous assessment</w:t>
            </w:r>
            <w:r w:rsidR="004903F7">
              <w:t xml:space="preserve">, </w:t>
            </w:r>
            <w:r w:rsidRPr="002514B7">
              <w:t>Final exam</w:t>
            </w:r>
          </w:p>
        </w:tc>
      </w:tr>
      <w:tr w:rsidR="009C554B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54B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554B" w:rsidRPr="005D2DDD" w:rsidRDefault="009C554B" w:rsidP="009C55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554B" w:rsidRPr="009C77F0" w:rsidRDefault="009C554B" w:rsidP="009C554B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554B" w:rsidRPr="005D2DDD" w:rsidTr="006E083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>to write</w:t>
            </w:r>
            <w:r w:rsidRPr="002514B7">
              <w:t xml:space="preserve"> meaningful simple, and compound sentences</w:t>
            </w:r>
            <w: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9C554B" w:rsidRPr="002514B7" w:rsidRDefault="009C554B" w:rsidP="009C554B">
            <w:pPr>
              <w:jc w:val="center"/>
            </w:pPr>
            <w:r>
              <w:t>Lectures</w:t>
            </w:r>
            <w:r w:rsidRPr="002514B7">
              <w:t xml:space="preserve"> and assignments.</w:t>
            </w:r>
          </w:p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Pair work, group work and individual writing tasks.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 xml:space="preserve">First Midterm, Second Midterm, </w:t>
            </w:r>
            <w:r w:rsidR="00BC01B4">
              <w:t>Continuous assessment</w:t>
            </w:r>
            <w:r w:rsidR="004903F7">
              <w:t xml:space="preserve">, </w:t>
            </w:r>
            <w:r w:rsidRPr="002514B7">
              <w:t>Final exam</w:t>
            </w:r>
          </w:p>
        </w:tc>
      </w:tr>
      <w:tr w:rsidR="009C554B" w:rsidRPr="005D2DDD" w:rsidTr="00A76DD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 xml:space="preserve">to </w:t>
            </w:r>
            <w:r w:rsidRPr="002514B7">
              <w:t xml:space="preserve">use </w:t>
            </w:r>
            <w:r>
              <w:t>adjectives and adverbs  in a sentence.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C554B" w:rsidRDefault="009C554B" w:rsidP="009C554B">
            <w:pPr>
              <w:jc w:val="center"/>
            </w:pPr>
            <w:r>
              <w:t>Lectures and assignments.</w:t>
            </w:r>
          </w:p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>
              <w:t>Pair work, group work and individual writing tasks.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 xml:space="preserve">First Midterm, Second Midterm, </w:t>
            </w:r>
            <w:r w:rsidR="00BC01B4">
              <w:t>Continuous assessment</w:t>
            </w:r>
            <w:r w:rsidR="004903F7">
              <w:t xml:space="preserve">, </w:t>
            </w:r>
            <w:r w:rsidRPr="002514B7">
              <w:t>Final exam</w:t>
            </w:r>
          </w:p>
        </w:tc>
      </w:tr>
      <w:tr w:rsidR="009C554B" w:rsidRPr="005D2DDD" w:rsidTr="004E7B73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Students </w:t>
            </w:r>
            <w:r w:rsidR="00670ADC">
              <w:t xml:space="preserve">will be  able </w:t>
            </w:r>
            <w:r>
              <w:t xml:space="preserve">to </w:t>
            </w:r>
            <w:r w:rsidRPr="002514B7">
              <w:t>w</w:t>
            </w:r>
            <w:r>
              <w:t>rite a</w:t>
            </w:r>
            <w:r w:rsidRPr="002514B7">
              <w:t xml:space="preserve"> paragraph with a reasonable topic sentence, supporting sentences and a concluding sentence.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:rsidR="009C554B" w:rsidRDefault="009C554B" w:rsidP="009C554B">
            <w:pPr>
              <w:jc w:val="center"/>
            </w:pPr>
            <w:r>
              <w:t>Lectures and assignments.</w:t>
            </w:r>
          </w:p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>
              <w:t>Pair work, group work and individual writing tasks.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First Midterm, Second Midterm,</w:t>
            </w:r>
            <w:r w:rsidR="004903F7">
              <w:t xml:space="preserve"> </w:t>
            </w:r>
            <w:r w:rsidR="00BC01B4">
              <w:t>Continuous assessment</w:t>
            </w:r>
            <w:bookmarkStart w:id="10" w:name="_GoBack"/>
            <w:bookmarkEnd w:id="10"/>
            <w:r w:rsidR="004903F7">
              <w:t xml:space="preserve">, </w:t>
            </w:r>
            <w:r w:rsidRPr="002514B7">
              <w:t xml:space="preserve"> Final exam</w:t>
            </w:r>
          </w:p>
        </w:tc>
      </w:tr>
      <w:tr w:rsidR="00F10D62" w:rsidRPr="005D2DDD" w:rsidTr="004E7B73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10D62" w:rsidRDefault="00F10D62" w:rsidP="009C55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10D62" w:rsidRDefault="00F10D62" w:rsidP="00F10D62">
            <w:pPr>
              <w:jc w:val="lowKashida"/>
            </w:pPr>
            <w:r>
              <w:t xml:space="preserve">Students </w:t>
            </w:r>
            <w:r w:rsidR="00670ADC">
              <w:t xml:space="preserve">will be  able </w:t>
            </w:r>
            <w:r>
              <w:t>to express</w:t>
            </w:r>
            <w:r w:rsidRPr="002514B7">
              <w:t xml:space="preserve"> </w:t>
            </w:r>
            <w:r>
              <w:t>their ideas and thoughts using</w:t>
            </w:r>
            <w:r w:rsidRPr="002514B7">
              <w:t xml:space="preserve"> appropriate vocabulary and structures for academic</w:t>
            </w:r>
            <w:r>
              <w:t xml:space="preserve"> and social writings.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:rsidR="00F10D62" w:rsidRDefault="00F10D62" w:rsidP="00F10D62">
            <w:pPr>
              <w:jc w:val="center"/>
            </w:pPr>
            <w:r>
              <w:t>Lectures and assignments.</w:t>
            </w:r>
          </w:p>
          <w:p w:rsidR="00F10D62" w:rsidRDefault="00F10D62" w:rsidP="00F10D62">
            <w:pPr>
              <w:jc w:val="center"/>
            </w:pPr>
            <w:r>
              <w:t>Pair work, group work and individual writing tasks.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:rsidR="00F10D62" w:rsidRDefault="00F10D62" w:rsidP="004903F7">
            <w:pPr>
              <w:jc w:val="center"/>
            </w:pPr>
            <w:r w:rsidRPr="002514B7">
              <w:t xml:space="preserve">First Midterm, Second Midterm, </w:t>
            </w:r>
            <w:r w:rsidR="004903F7">
              <w:t xml:space="preserve">Continuous assessment, </w:t>
            </w:r>
            <w:r w:rsidRPr="002514B7">
              <w:t>Final exam</w:t>
            </w:r>
          </w:p>
          <w:p w:rsidR="00F10D62" w:rsidRPr="002514B7" w:rsidRDefault="00F10D62" w:rsidP="00F10D62">
            <w:pPr>
              <w:jc w:val="center"/>
            </w:pPr>
          </w:p>
        </w:tc>
      </w:tr>
      <w:tr w:rsidR="009C554B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554B" w:rsidRPr="005D2DDD" w:rsidRDefault="009C554B" w:rsidP="009C55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554B" w:rsidRPr="009C77F0" w:rsidRDefault="009C554B" w:rsidP="009C554B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554B" w:rsidRPr="005D2DDD" w:rsidTr="00EF689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554B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554B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54B" w:rsidRPr="00DE07AD" w:rsidRDefault="009C554B" w:rsidP="009C554B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54B" w:rsidRPr="00DE07AD" w:rsidRDefault="009C554B" w:rsidP="009C554B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C55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C554B" w:rsidRPr="009D1E6C" w:rsidRDefault="009C554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1525E3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First Mid-</w:t>
            </w:r>
            <w:r w:rsidR="001525E3">
              <w:rPr>
                <w:b/>
                <w:bCs/>
              </w:rPr>
              <w:t>T</w:t>
            </w:r>
            <w:r w:rsidRPr="001525E3">
              <w:rPr>
                <w:b/>
                <w:bCs/>
              </w:rPr>
              <w:t xml:space="preserve">erm </w:t>
            </w:r>
            <w:r w:rsidR="001525E3">
              <w:rPr>
                <w:b/>
                <w:bCs/>
              </w:rPr>
              <w:t>E</w:t>
            </w:r>
            <w:r w:rsidRPr="001525E3">
              <w:rPr>
                <w:b/>
                <w:bCs/>
              </w:rPr>
              <w:t>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20 marks</w:t>
            </w:r>
          </w:p>
        </w:tc>
      </w:tr>
      <w:tr w:rsidR="009C55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C554B" w:rsidRPr="009D1E6C" w:rsidRDefault="009C554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1525E3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525E3">
              <w:rPr>
                <w:b/>
                <w:bCs/>
              </w:rPr>
              <w:t>Second Mid-</w:t>
            </w:r>
            <w:r w:rsidR="001525E3">
              <w:rPr>
                <w:b/>
                <w:bCs/>
              </w:rPr>
              <w:t>T</w:t>
            </w:r>
            <w:r w:rsidRPr="001525E3">
              <w:rPr>
                <w:b/>
                <w:bCs/>
              </w:rPr>
              <w:t xml:space="preserve">erm </w:t>
            </w:r>
            <w:r w:rsidR="001525E3">
              <w:rPr>
                <w:b/>
                <w:bCs/>
              </w:rPr>
              <w:t>E</w:t>
            </w:r>
            <w:r w:rsidRPr="001525E3">
              <w:rPr>
                <w:b/>
                <w:bCs/>
              </w:rPr>
              <w:t>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11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20 marks</w:t>
            </w:r>
          </w:p>
        </w:tc>
      </w:tr>
      <w:tr w:rsidR="009C554B" w:rsidRPr="005D2DDD" w:rsidTr="004903F7">
        <w:trPr>
          <w:trHeight w:val="165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54B" w:rsidRPr="009D1E6C" w:rsidRDefault="009C554B" w:rsidP="004903F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54B" w:rsidRPr="001525E3" w:rsidRDefault="00DA43B9" w:rsidP="001525E3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Continuous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54B" w:rsidRPr="001525E3" w:rsidRDefault="00DA43B9" w:rsidP="002B4C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1-1</w:t>
            </w:r>
            <w:r w:rsidR="000618A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9C554B" w:rsidRPr="001525E3" w:rsidRDefault="00DA43B9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 marks</w:t>
            </w:r>
          </w:p>
        </w:tc>
      </w:tr>
      <w:tr w:rsidR="004903F7" w:rsidRPr="005D2DDD" w:rsidTr="004903F7">
        <w:trPr>
          <w:trHeight w:val="96"/>
          <w:jc w:val="center"/>
        </w:trPr>
        <w:tc>
          <w:tcPr>
            <w:tcW w:w="41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03F7" w:rsidRPr="00D45EEE" w:rsidRDefault="004903F7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903F7" w:rsidRPr="001525E3" w:rsidRDefault="004903F7" w:rsidP="001B0354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 xml:space="preserve">Final </w:t>
            </w:r>
            <w:r>
              <w:rPr>
                <w:b/>
                <w:bCs/>
              </w:rPr>
              <w:t>E</w:t>
            </w:r>
            <w:r w:rsidRPr="001525E3">
              <w:rPr>
                <w:b/>
                <w:bCs/>
              </w:rPr>
              <w:t>xam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903F7" w:rsidRPr="001525E3" w:rsidRDefault="004903F7" w:rsidP="001B03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25E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0618A4">
              <w:rPr>
                <w:b/>
                <w:bCs/>
              </w:rPr>
              <w:t>-17-18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:rsidR="004903F7" w:rsidRPr="001525E3" w:rsidRDefault="004903F7" w:rsidP="001B035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5E3">
              <w:rPr>
                <w:b/>
                <w:bCs/>
              </w:rPr>
              <w:t>50 marks</w:t>
            </w:r>
          </w:p>
        </w:tc>
      </w:tr>
      <w:tr w:rsidR="009C55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C554B" w:rsidRPr="009D1E6C" w:rsidRDefault="009C554B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1525E3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C554B" w:rsidRPr="001525E3" w:rsidRDefault="009C554B" w:rsidP="009C55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1525E3" w:rsidRDefault="001525E3" w:rsidP="001525E3">
            <w:pPr>
              <w:pStyle w:val="af"/>
              <w:numPr>
                <w:ilvl w:val="0"/>
                <w:numId w:val="161"/>
              </w:numPr>
              <w:ind w:right="4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1298A">
              <w:rPr>
                <w:rFonts w:asciiTheme="majorBidi" w:hAnsiTheme="majorBidi" w:cstheme="majorBidi"/>
                <w:b/>
                <w:bCs/>
              </w:rPr>
              <w:t>Ten office hours per week</w:t>
            </w:r>
          </w:p>
          <w:p w:rsidR="005922AF" w:rsidRDefault="001525E3" w:rsidP="001525E3">
            <w:pPr>
              <w:pStyle w:val="af"/>
              <w:numPr>
                <w:ilvl w:val="0"/>
                <w:numId w:val="161"/>
              </w:numPr>
              <w:ind w:right="4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7302A">
              <w:rPr>
                <w:rFonts w:asciiTheme="majorBidi" w:hAnsiTheme="majorBidi" w:cstheme="majorBidi"/>
                <w:b/>
                <w:bCs/>
              </w:rPr>
              <w:t>Academic Advising</w:t>
            </w:r>
          </w:p>
          <w:p w:rsidR="001525E3" w:rsidRPr="001525E3" w:rsidRDefault="001525E3" w:rsidP="001525E3">
            <w:pPr>
              <w:pStyle w:val="af"/>
              <w:ind w:right="43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B5102" w:rsidRPr="005D2DDD" w:rsidRDefault="00FF15B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WRITING POWER 1 - PEARSON</w:t>
            </w: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FF15B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Internet Sites; </w:t>
            </w:r>
            <w:r w:rsidR="003D3704">
              <w:rPr>
                <w:rFonts w:asciiTheme="majorBidi" w:hAnsiTheme="majorBidi" w:cstheme="majorBidi"/>
              </w:rPr>
              <w:t>YouTube</w:t>
            </w:r>
          </w:p>
        </w:tc>
      </w:tr>
      <w:tr w:rsidR="00FF15B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FF15B2" w:rsidRPr="00FE6640" w:rsidRDefault="00FF15B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FF15B2" w:rsidRPr="00E115D6" w:rsidRDefault="00FF15B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Additional Materials available on the University website</w:t>
            </w:r>
          </w:p>
        </w:tc>
      </w:tr>
      <w:tr w:rsidR="00FF15B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FF15B2" w:rsidRPr="00FE6640" w:rsidRDefault="00FF15B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FF15B2" w:rsidRPr="00E115D6" w:rsidRDefault="00FF15B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Individual teachers' learning materials on Blackboard</w:t>
            </w:r>
          </w:p>
        </w:tc>
      </w:tr>
    </w:tbl>
    <w:p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F15B2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F15B2" w:rsidRDefault="00FF15B2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F15B2" w:rsidRPr="005D2DDD" w:rsidRDefault="00FF15B2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F15B2" w:rsidRPr="00296746" w:rsidRDefault="00FF15B2" w:rsidP="00FF15B2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t>Classrooms</w:t>
            </w:r>
            <w:r w:rsidRPr="00815947">
              <w:rPr>
                <w:rFonts w:asciiTheme="majorBidi" w:hAnsiTheme="majorBidi" w:cstheme="majorBidi"/>
              </w:rPr>
              <w:t xml:space="preserve">/labs </w:t>
            </w:r>
            <w:r>
              <w:rPr>
                <w:rFonts w:asciiTheme="majorBidi" w:hAnsiTheme="majorBidi" w:cstheme="majorBidi"/>
              </w:rPr>
              <w:t>at college</w:t>
            </w:r>
          </w:p>
        </w:tc>
      </w:tr>
      <w:tr w:rsidR="00FF15B2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5B2" w:rsidRPr="002E3EE3" w:rsidRDefault="00FF15B2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F15B2" w:rsidRPr="005D2DDD" w:rsidRDefault="00FF15B2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5B2" w:rsidRPr="00296746" w:rsidRDefault="00FF15B2" w:rsidP="00FF15B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AV, Computers</w:t>
            </w:r>
            <w:r w:rsidRPr="00263424">
              <w:rPr>
                <w:rFonts w:asciiTheme="majorBidi" w:hAnsiTheme="majorBidi" w:cstheme="majorBidi"/>
              </w:rPr>
              <w:t xml:space="preserve">, Smart Board, </w:t>
            </w:r>
            <w:r>
              <w:rPr>
                <w:rFonts w:asciiTheme="majorBidi" w:hAnsiTheme="majorBidi" w:cstheme="majorBidi"/>
              </w:rPr>
              <w:t>S</w:t>
            </w:r>
            <w:r w:rsidRPr="00263424">
              <w:rPr>
                <w:rFonts w:asciiTheme="majorBidi" w:hAnsiTheme="majorBidi" w:cstheme="majorBidi"/>
              </w:rPr>
              <w:t xml:space="preserve">oftware, </w:t>
            </w:r>
            <w:r w:rsidR="003D3704" w:rsidRPr="00263424">
              <w:rPr>
                <w:rFonts w:asciiTheme="majorBidi" w:hAnsiTheme="majorBidi" w:cstheme="majorBidi"/>
              </w:rPr>
              <w:t>etc.</w:t>
            </w:r>
          </w:p>
        </w:tc>
      </w:tr>
      <w:tr w:rsidR="00FF15B2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F15B2" w:rsidRPr="002E3EE3" w:rsidRDefault="00FF15B2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F15B2" w:rsidRPr="00C36A18" w:rsidRDefault="00FF15B2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F15B2" w:rsidRPr="00FF15B2" w:rsidRDefault="00FF15B2" w:rsidP="00FF15B2">
            <w:pPr>
              <w:ind w:right="43"/>
              <w:rPr>
                <w:rFonts w:asciiTheme="majorBidi" w:hAnsiTheme="majorBidi" w:cstheme="majorBidi"/>
              </w:rPr>
            </w:pPr>
            <w:r w:rsidRPr="00FF15B2">
              <w:rPr>
                <w:rFonts w:asciiTheme="majorBidi" w:hAnsiTheme="majorBidi" w:cstheme="majorBidi"/>
              </w:rPr>
              <w:t>Blackboard, E-learning, Smart Classroom and English Lab</w:t>
            </w:r>
          </w:p>
          <w:p w:rsidR="00FF15B2" w:rsidRPr="00296746" w:rsidRDefault="00FF15B2" w:rsidP="00FF15B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F15B2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Effectiveness of teaching and assessment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A14C4C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Students and teachers 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Peer observation</w:t>
            </w:r>
            <w:r w:rsidR="00A14C4C">
              <w:rPr>
                <w:rFonts w:asciiTheme="majorBidi" w:hAnsiTheme="majorBidi" w:cstheme="majorBidi"/>
              </w:rPr>
              <w:t xml:space="preserve">, students questionnaire </w:t>
            </w:r>
          </w:p>
        </w:tc>
      </w:tr>
      <w:tr w:rsidR="00FF15B2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Quality Unit/Department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15B2" w:rsidRPr="00BC6833" w:rsidRDefault="00A14C4C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Statistics </w:t>
            </w:r>
          </w:p>
        </w:tc>
      </w:tr>
      <w:tr w:rsidR="00FF15B2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Quality of learning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Students/Department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15B2" w:rsidRPr="00BC6833" w:rsidRDefault="00FF15B2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Online Observation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0816E2">
        <w:trPr>
          <w:trHeight w:val="474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0816E2" w:rsidRDefault="000816E2" w:rsidP="000816E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</w:rPr>
              <w:t>Department Council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994F24" w:rsidRDefault="00994F24" w:rsidP="00994F24">
            <w:pPr>
              <w:jc w:val="both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FS 40/41-1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8A6AEE" w:rsidRDefault="000816E2" w:rsidP="008A6AE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Sept 10</w:t>
            </w:r>
            <w:r w:rsidRPr="000816E2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>, 2019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8E" w:rsidRDefault="000A4A8E">
      <w:r>
        <w:separator/>
      </w:r>
    </w:p>
  </w:endnote>
  <w:endnote w:type="continuationSeparator" w:id="1">
    <w:p w:rsidR="000A4A8E" w:rsidRDefault="000A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D016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5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FB7">
      <w:rPr>
        <w:rStyle w:val="a5"/>
        <w:noProof/>
      </w:rPr>
      <w:t>246</w:t>
    </w:r>
    <w:r>
      <w:rPr>
        <w:rStyle w:val="a5"/>
      </w:rPr>
      <w:fldChar w:fldCharType="end"/>
    </w:r>
  </w:p>
  <w:p w:rsidR="00465FB7" w:rsidRDefault="00465F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D016B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69.6pt;margin-top:2pt;width:26.15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" filled="f" stroked="f" strokeweight=".5pt">
          <v:path arrowok="t"/>
          <v:textbox>
            <w:txbxContent>
              <w:p w:rsidR="00465FB7" w:rsidRPr="0078250C" w:rsidRDefault="00D016BA" w:rsidP="0043569C">
                <w:pPr>
                  <w:pStyle w:val="a3"/>
                  <w:jc w:val="center"/>
                  <w:rPr>
                    <w:sz w:val="22"/>
                    <w:szCs w:val="22"/>
                  </w:rPr>
                </w:pPr>
                <w:r w:rsidRPr="0078250C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465FB7" w:rsidRPr="0078250C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78250C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994F24">
                  <w:rPr>
                    <w:b/>
                    <w:bCs/>
                    <w:noProof/>
                    <w:sz w:val="28"/>
                    <w:szCs w:val="28"/>
                  </w:rPr>
                  <w:t>7</w:t>
                </w:r>
                <w:r w:rsidRPr="0078250C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8E" w:rsidRDefault="000A4A8E">
      <w:r>
        <w:separator/>
      </w:r>
    </w:p>
  </w:footnote>
  <w:footnote w:type="continuationSeparator" w:id="1">
    <w:p w:rsidR="000A4A8E" w:rsidRDefault="000A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1413A5"/>
    <w:multiLevelType w:val="hybridMultilevel"/>
    <w:tmpl w:val="6C4045A4"/>
    <w:lvl w:ilvl="0" w:tplc="FD28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7B4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99C"/>
    <w:rsid w:val="00054F9F"/>
    <w:rsid w:val="00055960"/>
    <w:rsid w:val="000574C7"/>
    <w:rsid w:val="000618A4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6E2"/>
    <w:rsid w:val="00081809"/>
    <w:rsid w:val="00082582"/>
    <w:rsid w:val="00086238"/>
    <w:rsid w:val="00087228"/>
    <w:rsid w:val="00093444"/>
    <w:rsid w:val="00093C93"/>
    <w:rsid w:val="00094961"/>
    <w:rsid w:val="000A4A8E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25E3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56538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B2944"/>
    <w:rsid w:val="002B4C6C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39C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37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03F7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4B6A"/>
    <w:rsid w:val="004E5664"/>
    <w:rsid w:val="004E5C1C"/>
    <w:rsid w:val="004E7612"/>
    <w:rsid w:val="004F0474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08B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5FE0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8EE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0ADC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5DC2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64C5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3F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A6AEE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751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4F24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554B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076BE"/>
    <w:rsid w:val="00A113B8"/>
    <w:rsid w:val="00A124F8"/>
    <w:rsid w:val="00A13A58"/>
    <w:rsid w:val="00A14C4C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18E7"/>
    <w:rsid w:val="00B315F4"/>
    <w:rsid w:val="00B353C8"/>
    <w:rsid w:val="00B35B9E"/>
    <w:rsid w:val="00B36352"/>
    <w:rsid w:val="00B3737B"/>
    <w:rsid w:val="00B37F47"/>
    <w:rsid w:val="00B410A3"/>
    <w:rsid w:val="00B421D9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1B4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386C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2866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6BA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43B9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2104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B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D7E56"/>
    <w:rsid w:val="00EE2B49"/>
    <w:rsid w:val="00EE3F47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0D62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29E0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6E9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15B2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02DCD-7EE8-428D-B41E-79FF02BF9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Course Specifications</vt:lpstr>
    </vt:vector>
  </TitlesOfParts>
  <Company>Hewlett-Packard</Company>
  <LinksUpToDate>false</LinksUpToDate>
  <CharactersWithSpaces>8140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knalmwzaiji</cp:lastModifiedBy>
  <cp:revision>5</cp:revision>
  <cp:lastPrinted>2019-05-13T09:39:00Z</cp:lastPrinted>
  <dcterms:created xsi:type="dcterms:W3CDTF">2019-09-17T12:03:00Z</dcterms:created>
  <dcterms:modified xsi:type="dcterms:W3CDTF">2019-09-18T10:01:00Z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  <property fmtid="{D5CDD505-2E9C-101B-9397-08002B2CF9AE}" pid="3" name="Version0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